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E1" w:rsidRPr="006522E1" w:rsidRDefault="006522E1" w:rsidP="006522E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6522E1" w:rsidRPr="006522E1" w:rsidRDefault="006522E1" w:rsidP="006522E1">
      <w:pPr>
        <w:spacing w:after="1" w:line="22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22E1">
        <w:rPr>
          <w:rFonts w:ascii="Times New Roman" w:eastAsia="Times New Roman" w:hAnsi="Times New Roman" w:cs="Times New Roman"/>
          <w:b/>
          <w:sz w:val="28"/>
          <w:szCs w:val="28"/>
        </w:rPr>
        <w:t>ЛОМБАРДНАЯ ДЕЯТЕЛЬНОСТЬ</w:t>
      </w:r>
    </w:p>
    <w:p w:rsidR="006522E1" w:rsidRPr="006522E1" w:rsidRDefault="006522E1" w:rsidP="006522E1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2E1" w:rsidRPr="006522E1" w:rsidRDefault="006522E1" w:rsidP="006522E1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E1">
        <w:rPr>
          <w:rFonts w:ascii="Times New Roman" w:eastAsia="Times New Roman" w:hAnsi="Times New Roman" w:cs="Times New Roman"/>
          <w:b/>
          <w:sz w:val="28"/>
          <w:szCs w:val="28"/>
        </w:rPr>
        <w:t>Скорректированы требования к содержанию залогового билета</w:t>
      </w:r>
    </w:p>
    <w:p w:rsidR="006522E1" w:rsidRPr="006522E1" w:rsidRDefault="006522E1" w:rsidP="006522E1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E1">
        <w:rPr>
          <w:rFonts w:ascii="Times New Roman" w:eastAsia="Times New Roman" w:hAnsi="Times New Roman" w:cs="Times New Roman"/>
          <w:sz w:val="28"/>
          <w:szCs w:val="28"/>
        </w:rPr>
        <w:t>В форму залогового билета внесены изменения, предусматривающие, что не допускается начисление процентов, неустойки (штрафа, пени), иных мер ответственности, а также платежей за услуги, оказываемые кредитором заемщику за отдельную плату, после того как сумма начисленных процентов, неустойки (штрафа, пени), иных мер ответственности, а также платежей за услуги, оказываемые кредитором заемщику за отдельную плату, достигнет 130% от суммы предоставленного потребительского займа (ранее - полуторакратного размера суммы предоставленного потребительского займа).</w:t>
      </w:r>
    </w:p>
    <w:p w:rsidR="006522E1" w:rsidRPr="006522E1" w:rsidRDefault="006522E1" w:rsidP="006522E1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E1">
        <w:rPr>
          <w:rFonts w:ascii="Times New Roman" w:eastAsia="Times New Roman" w:hAnsi="Times New Roman" w:cs="Times New Roman"/>
          <w:sz w:val="28"/>
          <w:szCs w:val="28"/>
        </w:rPr>
        <w:t>(Указание Банка России от 23.05.2023 N 6425-У вступает в силу 11 июля 2023 года)</w:t>
      </w:r>
      <w:bookmarkStart w:id="0" w:name="_GoBack"/>
      <w:bookmarkEnd w:id="0"/>
    </w:p>
    <w:sectPr w:rsidR="006522E1" w:rsidRPr="006522E1" w:rsidSect="00AD576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E"/>
    <w:rsid w:val="006522E1"/>
    <w:rsid w:val="008E5A9E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EFCC"/>
  <w15:chartTrackingRefBased/>
  <w15:docId w15:val="{130BDFAD-C462-4D7D-B0EA-032BD228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diakov.net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2023-07-05T04:06:00Z</dcterms:created>
  <dcterms:modified xsi:type="dcterms:W3CDTF">2023-07-05T04:09:00Z</dcterms:modified>
</cp:coreProperties>
</file>